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both"/>
        <w:rPr>
          <w:rFonts w:eastAsia="方正小标宋简体"/>
          <w:bCs/>
          <w:color w:val="000000"/>
          <w:spacing w:val="8"/>
          <w:sz w:val="36"/>
          <w:szCs w:val="36"/>
        </w:rPr>
      </w:pPr>
      <w:r>
        <w:rPr>
          <w:rFonts w:hAnsi="方正小标宋简体" w:eastAsia="方正小标宋简体"/>
          <w:bCs/>
          <w:color w:val="000000"/>
          <w:spacing w:val="8"/>
          <w:sz w:val="36"/>
          <w:szCs w:val="36"/>
        </w:rPr>
        <w:t>广西</w:t>
      </w:r>
      <w:r>
        <w:rPr>
          <w:rFonts w:eastAsia="方正小标宋简体"/>
          <w:bCs/>
          <w:color w:val="000000"/>
          <w:spacing w:val="8"/>
          <w:sz w:val="36"/>
          <w:szCs w:val="36"/>
        </w:rPr>
        <w:t>2020</w:t>
      </w:r>
      <w:r>
        <w:rPr>
          <w:rFonts w:hAnsi="方正小标宋简体" w:eastAsia="方正小标宋简体"/>
          <w:bCs/>
          <w:color w:val="000000"/>
          <w:spacing w:val="8"/>
          <w:sz w:val="36"/>
          <w:szCs w:val="36"/>
        </w:rPr>
        <w:t>年定向选调生招录急需紧缺专业目录</w:t>
      </w:r>
    </w:p>
    <w:p>
      <w:pPr>
        <w:spacing w:line="500" w:lineRule="exact"/>
        <w:jc w:val="center"/>
        <w:rPr>
          <w:rFonts w:eastAsia="方正小标宋简体"/>
          <w:bCs/>
          <w:color w:val="000000"/>
          <w:spacing w:val="8"/>
          <w:sz w:val="36"/>
          <w:szCs w:val="36"/>
        </w:rPr>
      </w:pPr>
      <w:bookmarkStart w:id="0" w:name="_GoBack"/>
      <w:bookmarkEnd w:id="0"/>
    </w:p>
    <w:tbl>
      <w:tblPr>
        <w:tblStyle w:val="2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spacing w:val="8"/>
                <w:sz w:val="30"/>
                <w:szCs w:val="30"/>
              </w:rPr>
            </w:pPr>
            <w:r>
              <w:rPr>
                <w:rFonts w:hint="eastAsia" w:hAnsi="黑体" w:eastAsia="黑体"/>
                <w:bCs/>
                <w:color w:val="000000"/>
                <w:spacing w:val="8"/>
                <w:sz w:val="30"/>
                <w:szCs w:val="30"/>
              </w:rPr>
              <w:t>以下专业招录全日制本科、硕士毕业生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（一）经济学、管理学、社会学与法学类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经济学，财务管理，财务与投资管理，财政学，公共财政管理，金融学（工程），金融工程与经济发展，国际金融学，国际贸易学，国际经济与贸易，商务经济学，统计学，会计学，审计学，旅游管理，会展经济与管理，土地资源管理，物流工程及管理，电子商务，信用管理，应急管理，医疗健康管理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社会保障，法学（法律）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（二）土建类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（三）海洋科学及工程类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（四）环境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科学类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（五）交通运输类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（六）机械工程与材料科学类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机械制造及其自动化，机械电子工程，车辆工程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机械设计及理论，材料科学与工程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新材料科学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（七）电气信息工程及电子信息科技类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数据科学与大数据技术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（八）轻工食品类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（九）农林水类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果树学，蔬菜学，茶学，林学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农产品安全，农药学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畜牧学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水产养殖，农业（林业）经济管理，农业电气化与自动化，农业机械化及其自动化，农业昆虫与害虫防治，农业生物环境与能源工程，农业信息化技术，种子科学与工程，农业水土工程，农业水利工程，水利工程，水利水电工程（建设、施工与管理），水文（学）与水资源（工程），水灾害和水安全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生态水力学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（十）医学、康养类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中药学，中药资源与开发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壮医学，预防医学，中医养生康养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spacing w:val="8"/>
                <w:sz w:val="30"/>
                <w:szCs w:val="30"/>
              </w:rPr>
            </w:pPr>
            <w:r>
              <w:rPr>
                <w:rFonts w:hint="eastAsia" w:hAnsi="黑体" w:eastAsia="黑体"/>
                <w:bCs/>
                <w:color w:val="000000"/>
                <w:spacing w:val="8"/>
                <w:sz w:val="30"/>
                <w:szCs w:val="30"/>
              </w:rPr>
              <w:t>以下专业招录全日制博士毕业生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（一）经济学、管理学与法学类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经济学，财务管理，财务与投资管理，财政学，公共财政管理，金融学（工程），国际贸易学，国际经济与贸易，旅游管理，会展经济与管理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>，</w:t>
            </w:r>
            <w:r>
              <w:rPr>
                <w:rFonts w:hAnsi="仿宋_GB2312" w:eastAsia="仿宋_GB2312"/>
                <w:color w:val="000000"/>
                <w:sz w:val="24"/>
              </w:rPr>
              <w:t>法学（法律）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（二）土建类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</w:p>
        </w:tc>
      </w:tr>
    </w:tbl>
    <w:p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注：志愿到县乡机关工作的本科生、硕士研究生不限专业报考。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67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2019-10-15T04:31:03Z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