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eastAsiaTheme="minorEastAsia"/>
          <w:b w:val="0"/>
          <w:bCs w:val="0"/>
          <w:sz w:val="28"/>
          <w:szCs w:val="28"/>
          <w:lang w:val="en-US" w:eastAsia="zh-CN"/>
        </w:rPr>
      </w:pPr>
      <w:bookmarkStart w:id="0" w:name="_GoBack"/>
      <w:r>
        <w:rPr>
          <w:rFonts w:hint="eastAsia"/>
          <w:b w:val="0"/>
          <w:bCs w:val="0"/>
          <w:sz w:val="28"/>
          <w:szCs w:val="28"/>
          <w:lang w:val="en-US" w:eastAsia="zh-CN"/>
        </w:rPr>
        <w:t>附件4</w:t>
      </w:r>
    </w:p>
    <w:bookmarkEnd w:id="0"/>
    <w:p>
      <w:pPr>
        <w:pStyle w:val="2"/>
        <w:jc w:val="center"/>
      </w:pPr>
      <w:r>
        <w:rPr>
          <w:rFonts w:hint="eastAsia"/>
        </w:rPr>
        <w:t>广西万邕投资集团有限公司简介</w:t>
      </w:r>
    </w:p>
    <w:p>
      <w:pPr>
        <w:ind w:firstLine="560" w:firstLineChars="200"/>
      </w:pPr>
      <w:r>
        <w:rPr>
          <w:rFonts w:hint="eastAsia"/>
        </w:rPr>
        <w:t>广西万邕投资集团有限公司（以下简称“万邕集团”）成立于2001年10月，注册资本人民币壹亿零伍佰万元，业务涵盖电力工程勘察设计、监理咨询和工程施工；电力设备生产制造、维护；房地产开发及物业管理；新能源产业投资及生态科技农业开发五大业务板块，以电力建设为主多元化发展的集团型企业。万邕集团现拥有：广西建宁输变电工程有限公司、广西南宁国恒供电开发有限责任公司、广西百捷电气有限公司、广西品鑫电气设备维护有限责任公司、广西绿能电力勘察设计有限公司、广西万信工程咨询有限责任公司、南宁耀天电力科技有限公司及南宁宇能物业服务有限责任公司等8家所属单位，员工共计2680余人。</w:t>
      </w:r>
    </w:p>
    <w:p>
      <w:pPr>
        <w:ind w:firstLine="560" w:firstLineChars="200"/>
      </w:pPr>
      <w:r>
        <w:rPr>
          <w:rFonts w:hint="eastAsia"/>
        </w:rPr>
        <w:t>自成立以来，万邕集团凭借自身不断努力，立足于广西电网项目建设，参与国内外市场竞争，取得了辉煌的成绩，为地方经济快速发展做出了应有贡献。拥有卓越项目管理能力和先进技术理念，建造了系列精品工程，累计完成了国外230千伏输电线路项目约180公里、国内变电站项目约260座、输电线路项目约9000多公里。北海～美林500kV线路工程获得2019年中国电力优质工程、500kV北海变电站工程获得2019年广西建设工程“真武阁杯”奖（最高质量奖）, 220kV多吉变电站工程等3项工程建设项目荣获</w:t>
      </w:r>
      <w:r>
        <w:rPr>
          <w:rFonts w:hint="eastAsia" w:cs="宋体" w:asciiTheme="minorEastAsia" w:hAnsiTheme="minorEastAsia"/>
          <w:szCs w:val="21"/>
        </w:rPr>
        <w:t>中国电力优质工程奖；220kV排岭变电站工程荣获广西变电类工程“中国安装之星”；</w:t>
      </w:r>
      <w:r>
        <w:rPr>
          <w:rFonts w:hint="eastAsia"/>
        </w:rPr>
        <w:t>18项工程建设项目荣获</w:t>
      </w:r>
      <w:r>
        <w:rPr>
          <w:rFonts w:hint="eastAsia" w:cs="宋体" w:asciiTheme="minorEastAsia" w:hAnsiTheme="minorEastAsia"/>
          <w:szCs w:val="21"/>
        </w:rPr>
        <w:t>中国南方电网优质工程奖；40项</w:t>
      </w:r>
      <w:r>
        <w:rPr>
          <w:rFonts w:hint="eastAsia"/>
        </w:rPr>
        <w:t>工程建设项目荣获</w:t>
      </w:r>
      <w:r>
        <w:rPr>
          <w:rFonts w:hint="eastAsia" w:cs="宋体" w:asciiTheme="minorEastAsia" w:hAnsiTheme="minorEastAsia"/>
          <w:szCs w:val="21"/>
        </w:rPr>
        <w:t>广西电力建设企业协会、广西住房和城乡建设厅及广西电网公司颁发的广西优质工程奖。</w:t>
      </w:r>
      <w:r>
        <w:rPr>
          <w:rFonts w:hint="eastAsia"/>
        </w:rPr>
        <w:t>设计水平行业领先，万邕集团作为南方电网公司10千伏及35千伏配网标准设计起草编制成员之一，完成了100多项变电站及配套线路的重点工程设计项目，其中“南宁市新能源汽车基础设施规划”等高新领域规划编制获得了业主的高度评价。积极打造多元化管理平台，提升平台技术含金量，投资开发了6个房地产项目，累计建筑面积50多万平方米；拥有10项节能技术研发专利等，业务版图已遍布国内各省市以及柬埔寨、越南等东南亚国家；自主生产的（氯化聚氯乙烯）CPVC电缆护套管、（改性聚丙烯）MPP电缆护套管荣获广西名牌产品，绿色环保首选品牌，中国环保首选品牌，中国节能首选品牌等多项殊荣。</w:t>
      </w:r>
    </w:p>
    <w:p>
      <w:pPr>
        <w:ind w:firstLine="560" w:firstLineChars="200"/>
      </w:pPr>
      <w:r>
        <w:rPr>
          <w:rFonts w:hint="eastAsia"/>
        </w:rPr>
        <w:t>“来源于社会，回馈于社会，服务于社会”，万邕集团怀有一颗感恩社会的心，在2005年海南特大洪涝灾害、2008年南方地区的雨雪冰冻灾害、2010-2018年期间广西、海南多次遭受超强台风等重大自然灾害面前，我们迅速响应，成立抢险突击队，胜利完成了电网复电任务，恢复了当地人民群众生产生活用电；配合南宁供电局成功完成了2010年广州第16届亚运会、历届广西南宁民歌节保供电任务，得到了社会和群众的认可，赢得了政府以及社会各界的高度赞誉。</w:t>
      </w:r>
    </w:p>
    <w:p>
      <w:pPr>
        <w:ind w:firstLine="560" w:firstLineChars="200"/>
      </w:pPr>
      <w:r>
        <w:rPr>
          <w:rFonts w:hint="eastAsia"/>
        </w:rPr>
        <w:t>万邕集团一直秉承“万众一心、勇往直前”的企业精神，始终恪守“诚信守法、争创效益”的经营理念，时刻牢记“重信兴利、共赢发展”的企业宗旨，积极践行“精诚、品质、创新”的核心价值观，继续围绕电力发展，在新能源等领域加大建设力量，努力实现企业和股东双赢，为实现社会的美好繁荣，为实现中华民族伟大复兴“中国梦”而努力奋斗。</w:t>
      </w:r>
    </w:p>
    <w:p>
      <w:pPr>
        <w:ind w:firstLine="560" w:firstLineChars="200"/>
      </w:pP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5"/>
        <w:rPr>
          <w:rFonts w:asciiTheme="minorEastAsia" w:hAnsiTheme="minorEastAsia" w:eastAsiaTheme="minorEastAsia"/>
          <w:b/>
          <w:sz w:val="32"/>
          <w:szCs w:val="32"/>
        </w:rPr>
      </w:pPr>
      <w:r>
        <w:rPr>
          <w:rFonts w:hint="eastAsia" w:asciiTheme="minorEastAsia" w:hAnsiTheme="minorEastAsia" w:eastAsiaTheme="minorEastAsia"/>
          <w:b/>
          <w:sz w:val="32"/>
          <w:szCs w:val="32"/>
        </w:rPr>
        <w:t>窗体底端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rPr>
          <w:rFonts w:hint="eastAsia" w:cs="方正小标宋_GBK" w:asciiTheme="minorEastAsia" w:hAnsiTheme="minorEastAsia"/>
          <w:bCs w:val="0"/>
          <w:szCs w:val="32"/>
        </w:rPr>
      </w:pPr>
      <w:r>
        <w:rPr>
          <w:rFonts w:hint="eastAsia" w:cs="方正小标宋_GBK" w:asciiTheme="minorEastAsia" w:hAnsiTheme="minorEastAsia"/>
          <w:bCs w:val="0"/>
          <w:szCs w:val="32"/>
        </w:rPr>
        <w:br w:type="page"/>
      </w:r>
    </w:p>
    <w:p>
      <w:pPr>
        <w:pStyle w:val="2"/>
        <w:widowControl/>
        <w:spacing w:before="120" w:after="0" w:line="240" w:lineRule="auto"/>
        <w:jc w:val="center"/>
        <w:rPr>
          <w:rFonts w:hint="eastAsia"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szCs w:val="32"/>
        </w:rPr>
      </w:pPr>
      <w:r>
        <w:rPr>
          <w:rFonts w:hint="eastAsia" w:cs="方正小标宋_GBK" w:asciiTheme="minorEastAsia" w:hAnsiTheme="minorEastAsia"/>
          <w:bCs w:val="0"/>
          <w:szCs w:val="32"/>
        </w:rPr>
        <w:t>广西建宁输变电工程有限公司简介</w:t>
      </w:r>
    </w:p>
    <w:p>
      <w:pPr>
        <w:widowControl/>
        <w:spacing w:before="120"/>
        <w:rPr>
          <w:rFonts w:ascii="Tahoma" w:hAnsi="Tahoma" w:eastAsia="Tahoma" w:cs="Tahoma"/>
          <w:sz w:val="14"/>
          <w:szCs w:val="14"/>
        </w:rPr>
      </w:pPr>
    </w:p>
    <w:p>
      <w:pPr>
        <w:widowControl/>
        <w:spacing w:before="120"/>
        <w:ind w:firstLine="640"/>
        <w:rPr>
          <w:rFonts w:cs="仿宋_GB2312" w:asciiTheme="minorEastAsia" w:hAnsiTheme="minorEastAsia"/>
          <w:kern w:val="0"/>
          <w:szCs w:val="28"/>
        </w:rPr>
      </w:pPr>
      <w:r>
        <w:rPr>
          <w:rFonts w:hint="eastAsia" w:cs="仿宋_GB2312" w:asciiTheme="minorEastAsia" w:hAnsiTheme="minorEastAsia"/>
          <w:kern w:val="0"/>
          <w:szCs w:val="28"/>
        </w:rPr>
        <w:t xml:space="preserve">广西建宁输变电工程有限公司成立于1988年5月，公司主要承建各种电压等级的输电线路、变电站、配电工程、光缆工程及房屋建筑工程的施工，并从事普通货运、自营和代理一般经营项目商品和技术的进出口业务等经营项目。公司的资质等级为：输变电工程专业承包壹级、电力工程施工总承包贰级、房屋建筑工程施工总承包叁级、水利水电工程施工总承包叁级、市政公用工程施工总承包叁级；具有国家能源局南方监管局核发的电力设施承装类一级、承修类一级、承试类二级资质许可证；广西壮族自治区质量技术监督局核发的拉力试验认定书。 </w:t>
      </w:r>
    </w:p>
    <w:p>
      <w:pPr>
        <w:widowControl/>
        <w:spacing w:before="120"/>
        <w:ind w:firstLine="640"/>
        <w:rPr>
          <w:rFonts w:cs="仿宋_GB2312" w:asciiTheme="minorEastAsia" w:hAnsiTheme="minorEastAsia"/>
          <w:kern w:val="0"/>
          <w:szCs w:val="28"/>
        </w:rPr>
      </w:pPr>
      <w:r>
        <w:rPr>
          <w:rFonts w:hint="eastAsia" w:cs="仿宋_GB2312" w:asciiTheme="minorEastAsia" w:hAnsiTheme="minorEastAsia"/>
          <w:kern w:val="0"/>
          <w:szCs w:val="28"/>
        </w:rPr>
        <w:t>公司注册资本人民币陆仟万元，系广西具备规模的一级电力施工企业。公司现有人数344人，拥有系统合理的专业管理和专业技术人才储备，二级及以上建造师77人，中级及以上专业职称人员127人。公司拥有先进的大型牵张机具设备及500kV变电站安装调试试验设备、工器具及仪表等，50吨及以下吊车、18米及以下高空作业车等关键设备数台， 220kV及以下电压等级的电缆同步输送机组数套，技术装备率和动力装备率满足壹级企业要求的各种送变电工程施工。</w:t>
      </w:r>
    </w:p>
    <w:p>
      <w:pPr>
        <w:widowControl/>
        <w:spacing w:before="120"/>
        <w:ind w:firstLine="640"/>
        <w:rPr>
          <w:rFonts w:cs="仿宋_GB2312" w:asciiTheme="minorEastAsia" w:hAnsiTheme="minorEastAsia"/>
          <w:kern w:val="0"/>
          <w:szCs w:val="28"/>
        </w:rPr>
      </w:pPr>
      <w:r>
        <w:rPr>
          <w:rFonts w:hint="eastAsia" w:cs="仿宋_GB2312" w:asciiTheme="minorEastAsia" w:hAnsiTheme="minorEastAsia"/>
          <w:kern w:val="0"/>
          <w:szCs w:val="28"/>
        </w:rPr>
        <w:t>公司自成立以来，承建的送变电工程不仅遍及整个广西区内，还涉及粤、云、贵、川、琼等省外地区以及柬埔寨等东盟国家，至今共完成新建送电线路工程6660.843km，其中500kV：613.59km；230kV：176.606km；220kV：3409.191km；110kV：2461.456km；变电工程总容量为13029.5MVA，其中：新建500kV变电站4座、扩建500kV变电站2座、三通一平2座；换流站1座；220kV变电站29座，扩建220kV变电站29座，新建、扩建110kV变电站77座。所建工程质量全部达到国家验收标准，工程投入运行后，设备运行稳定，安全可靠。2001年至2019年3月共有49个输变电工程共72项被评为省电网公司级以上优质工程，其中中国安装之星1项，中国电力优质工程4项，南方电网基建优质工程6项，广西区优质工程18项，广西电网优质工程43项。</w:t>
      </w:r>
    </w:p>
    <w:p>
      <w:pPr>
        <w:widowControl/>
        <w:spacing w:before="120"/>
        <w:ind w:firstLine="640"/>
        <w:rPr>
          <w:rFonts w:cs="仿宋_GB2312" w:asciiTheme="minorEastAsia" w:hAnsiTheme="minorEastAsia"/>
          <w:kern w:val="0"/>
          <w:szCs w:val="28"/>
        </w:rPr>
      </w:pPr>
      <w:r>
        <w:rPr>
          <w:rFonts w:hint="eastAsia" w:cs="仿宋_GB2312" w:asciiTheme="minorEastAsia" w:hAnsiTheme="minorEastAsia"/>
          <w:kern w:val="0"/>
          <w:szCs w:val="28"/>
        </w:rPr>
        <w:t>公司于2000年实施通过了GB/T 19002-1994质量管理体系认证， 2003年通过了质量管理、环境管理、职业健康安全管理三标体系认证，2017年安全风险管理体系经南方电网公司考核认定为“三钻二星”等级。因工作成绩显著，公司获得多项省级以上电力系统及建筑业荣誉称号：中国电力企业联合会 “电力多种经营优秀企业”、 国家电力公司“全国电力多种经营优秀企业” 、“双文明单位”、中国水利电力质量管理协会“全国电力行业质量管理小组活动优秀企业”、广西企业联合会“广西优质企业”；QC小组在参加全国电力行业质量管理及全国工程建设优秀QC成果评比活动中连获殊荣；2016-2018年分别获得国家知识产权局授予五项专利。</w:t>
      </w:r>
    </w:p>
    <w:p>
      <w:pPr>
        <w:rPr>
          <w:rFonts w:hint="eastAsia" w:cs="方正小标宋_GBK" w:asciiTheme="minorEastAsia" w:hAnsiTheme="minorEastAsia"/>
          <w:bCs w:val="0"/>
          <w:szCs w:val="32"/>
        </w:rPr>
      </w:pPr>
      <w:r>
        <w:rPr>
          <w:rFonts w:hint="eastAsia" w:cs="方正小标宋_GBK" w:asciiTheme="minorEastAsia" w:hAnsiTheme="minorEastAsia"/>
          <w:bCs w:val="0"/>
          <w:szCs w:val="32"/>
        </w:rPr>
        <w:br w:type="page"/>
      </w:r>
    </w:p>
    <w:p>
      <w:pPr>
        <w:rPr>
          <w:rFonts w:hint="eastAsia"/>
        </w:rPr>
      </w:pPr>
    </w:p>
    <w:p>
      <w:pPr>
        <w:pStyle w:val="2"/>
        <w:widowControl/>
        <w:spacing w:before="120" w:after="0" w:line="580" w:lineRule="exact"/>
        <w:jc w:val="center"/>
        <w:rPr>
          <w:rFonts w:cs="方正小标宋_GBK" w:asciiTheme="minorEastAsia" w:hAnsiTheme="minorEastAsia"/>
          <w:szCs w:val="32"/>
        </w:rPr>
      </w:pPr>
      <w:r>
        <w:rPr>
          <w:rFonts w:hint="eastAsia" w:cs="方正小标宋_GBK" w:asciiTheme="minorEastAsia" w:hAnsiTheme="minorEastAsia"/>
          <w:bCs w:val="0"/>
          <w:szCs w:val="32"/>
        </w:rPr>
        <w:t>广西南宁国恒供电开发有限责任公司简介</w:t>
      </w:r>
    </w:p>
    <w:p>
      <w:pPr>
        <w:widowControl/>
        <w:spacing w:before="120" w:line="580" w:lineRule="exact"/>
        <w:rPr>
          <w:rFonts w:ascii="Tahoma" w:hAnsi="Tahoma" w:eastAsia="Tahoma" w:cs="Tahoma"/>
          <w:sz w:val="14"/>
          <w:szCs w:val="14"/>
        </w:rPr>
      </w:pPr>
    </w:p>
    <w:p>
      <w:pPr>
        <w:widowControl/>
        <w:spacing w:before="120"/>
        <w:ind w:firstLine="641"/>
        <w:rPr>
          <w:rFonts w:cs="仿宋_GB2312" w:asciiTheme="minorEastAsia" w:hAnsiTheme="minorEastAsia"/>
          <w:kern w:val="0"/>
          <w:szCs w:val="28"/>
        </w:rPr>
      </w:pPr>
      <w:r>
        <w:rPr>
          <w:rFonts w:hint="eastAsia" w:cs="仿宋_GB2312" w:asciiTheme="minorEastAsia" w:hAnsiTheme="minorEastAsia"/>
          <w:kern w:val="0"/>
          <w:szCs w:val="28"/>
        </w:rPr>
        <w:t>广西南宁国恒供电开发有限责任公司创建于1996年12月，注册资本人民币</w:t>
      </w:r>
      <w:r>
        <w:rPr>
          <w:rFonts w:hint="eastAsia" w:ascii="宋体" w:hAnsi="宋体"/>
          <w:szCs w:val="28"/>
        </w:rPr>
        <w:t>贰仟伍佰万元</w:t>
      </w:r>
      <w:r>
        <w:rPr>
          <w:rFonts w:hint="eastAsia" w:ascii="宋体" w:hAnsi="宋体" w:eastAsia="宋体" w:cs="宋体"/>
          <w:szCs w:val="28"/>
        </w:rPr>
        <w:t>，</w:t>
      </w:r>
      <w:r>
        <w:rPr>
          <w:rFonts w:hint="eastAsia" w:cs="仿宋_GB2312" w:asciiTheme="minorEastAsia" w:hAnsiTheme="minorEastAsia"/>
          <w:kern w:val="0"/>
          <w:szCs w:val="28"/>
        </w:rPr>
        <w:t>是输变电专业承包二级资质综合性企业。具有承装（修、试）电力设施许可证（承装类三级、承修类三级、承试类三级），拥有建筑工程施工总承包三级、电力工程施工总承包三级、市政工程施工总承包三级、铁路电气化专业承包三级资质。</w:t>
      </w:r>
    </w:p>
    <w:p>
      <w:pPr>
        <w:widowControl/>
        <w:spacing w:before="120"/>
        <w:ind w:firstLine="641"/>
        <w:rPr>
          <w:rFonts w:cs="仿宋_GB2312" w:asciiTheme="minorEastAsia" w:hAnsiTheme="minorEastAsia"/>
          <w:kern w:val="0"/>
          <w:szCs w:val="28"/>
        </w:rPr>
      </w:pPr>
      <w:r>
        <w:rPr>
          <w:rFonts w:hint="eastAsia" w:cs="仿宋_GB2312" w:asciiTheme="minorEastAsia" w:hAnsiTheme="minorEastAsia"/>
          <w:kern w:val="0"/>
          <w:szCs w:val="28"/>
        </w:rPr>
        <w:t>我公司主要从事110kV及以下电压等级的变电站安装、输电线路架设及城市配网工程施工、同电压等级电力设施的试验、同电压等级电力设施的维修，房屋建筑工程及市政工程的施工。公司已通过ISO 系列认证，取得质量、环境、职业健康安全及IQNet四标管理体系证书，达到中国南方电网公司安全生产风险管理体系2钻标准。</w:t>
      </w:r>
    </w:p>
    <w:p>
      <w:pPr>
        <w:widowControl/>
        <w:spacing w:before="120"/>
        <w:ind w:firstLine="641"/>
        <w:rPr>
          <w:rFonts w:cs="仿宋_GB2312" w:asciiTheme="minorEastAsia" w:hAnsiTheme="minorEastAsia"/>
          <w:kern w:val="0"/>
          <w:szCs w:val="28"/>
        </w:rPr>
      </w:pPr>
      <w:r>
        <w:rPr>
          <w:rFonts w:hint="eastAsia" w:cs="仿宋_GB2312" w:asciiTheme="minorEastAsia" w:hAnsiTheme="minorEastAsia"/>
          <w:kern w:val="0"/>
          <w:szCs w:val="28"/>
        </w:rPr>
        <w:t>公司技术力量雄厚，拥有广西区内一流的输配变电专业队伍和高素质的电力电缆施工团队，汇集了一批优秀的工程管理人员和技术过硬的施工班底，现有员工440人，中高级专业技术资格104人，二级以上建造师53人。历年来，公司用优质的工程质量和完善的服务赢得了广大客户的支持与厚爱，公司承建的110kV谷塘变电站、南宁市西乡塘新阳街道办事处雅里一户一表改造工程、新增公变台区改造四区（兴宁）工程分别获得2017年度、2014年度、2013年度南方电网优质工程奖。</w:t>
      </w:r>
      <w:r>
        <w:rPr>
          <w:rFonts w:cs="仿宋_GB2312" w:asciiTheme="minorEastAsia" w:hAnsiTheme="minorEastAsia"/>
          <w:kern w:val="0"/>
          <w:szCs w:val="28"/>
        </w:rPr>
        <w:br w:type="page"/>
      </w:r>
    </w:p>
    <w:p>
      <w:pPr>
        <w:widowControl/>
        <w:spacing w:before="120"/>
        <w:ind w:firstLine="641"/>
        <w:rPr>
          <w:rFonts w:cs="仿宋_GB2312" w:asciiTheme="minorEastAsia" w:hAnsiTheme="minorEastAsia"/>
          <w:kern w:val="0"/>
          <w:szCs w:val="28"/>
        </w:rPr>
      </w:pPr>
    </w:p>
    <w:p>
      <w:pPr>
        <w:jc w:val="center"/>
        <w:rPr>
          <w:rFonts w:ascii="宋体" w:hAnsi="宋体"/>
          <w:b/>
          <w:sz w:val="32"/>
          <w:szCs w:val="32"/>
        </w:rPr>
      </w:pPr>
      <w:r>
        <w:rPr>
          <w:rFonts w:hint="eastAsia" w:ascii="宋体" w:hAnsi="宋体"/>
          <w:b/>
          <w:sz w:val="32"/>
          <w:szCs w:val="32"/>
        </w:rPr>
        <w:t>广西百捷电气有限公司简介</w:t>
      </w:r>
    </w:p>
    <w:p>
      <w:pPr>
        <w:ind w:firstLine="560" w:firstLineChars="200"/>
        <w:jc w:val="left"/>
        <w:rPr>
          <w:rFonts w:ascii="宋体" w:hAnsi="宋体"/>
          <w:szCs w:val="28"/>
        </w:rPr>
      </w:pPr>
    </w:p>
    <w:p>
      <w:pPr>
        <w:ind w:firstLine="560" w:firstLineChars="200"/>
        <w:jc w:val="left"/>
        <w:rPr>
          <w:rFonts w:ascii="宋体" w:hAnsi="宋体" w:cs="宋体"/>
          <w:bCs/>
          <w:szCs w:val="28"/>
        </w:rPr>
      </w:pPr>
      <w:r>
        <w:rPr>
          <w:rFonts w:hint="eastAsia" w:ascii="宋体" w:hAnsi="宋体"/>
          <w:szCs w:val="28"/>
        </w:rPr>
        <w:t>广西百捷电气有限公司成立于2002年1月，注册资本人民币贰仟伍佰万元</w:t>
      </w:r>
      <w:r>
        <w:rPr>
          <w:rFonts w:hint="eastAsia" w:ascii="宋体" w:hAnsi="宋体" w:eastAsia="宋体" w:cs="宋体"/>
          <w:szCs w:val="28"/>
        </w:rPr>
        <w:t>。</w:t>
      </w:r>
      <w:r>
        <w:rPr>
          <w:rFonts w:hint="eastAsia" w:ascii="宋体" w:hAnsi="宋体" w:cs="宋体"/>
          <w:szCs w:val="28"/>
        </w:rPr>
        <w:t>公司</w:t>
      </w:r>
      <w:r>
        <w:rPr>
          <w:rFonts w:hint="eastAsia" w:ascii="宋体" w:hAnsi="宋体" w:eastAsia="宋体" w:cs="宋体"/>
          <w:szCs w:val="28"/>
        </w:rPr>
        <w:t>具备输变电工程专业承包贰级资质、城市及道路照明工程专业承包贰级资质、电力施工总承包三级资质、承装（修、试）电力设施许可证（承装二级、承修二级、承试三级）、</w:t>
      </w:r>
      <w:r>
        <w:rPr>
          <w:rFonts w:hint="eastAsia" w:ascii="宋体" w:hAnsi="宋体" w:cs="宋体"/>
          <w:szCs w:val="28"/>
        </w:rPr>
        <w:t>持有</w:t>
      </w:r>
      <w:r>
        <w:rPr>
          <w:rFonts w:hint="eastAsia" w:ascii="宋体" w:hAnsi="宋体" w:eastAsia="宋体" w:cs="宋体"/>
          <w:szCs w:val="28"/>
        </w:rPr>
        <w:t>工程建设施工组织质量管理体系认证证书、环境管理体系认证证书、职业健康安全管理体系认证证书、中国南方电网有限责任公司安全生产风险管理体系二钻四星资质评价。</w:t>
      </w:r>
    </w:p>
    <w:p>
      <w:pPr>
        <w:ind w:firstLine="560" w:firstLineChars="200"/>
        <w:jc w:val="left"/>
        <w:rPr>
          <w:rFonts w:ascii="宋体" w:hAnsi="宋体"/>
          <w:szCs w:val="28"/>
        </w:rPr>
      </w:pPr>
      <w:r>
        <w:rPr>
          <w:rFonts w:hint="eastAsia" w:ascii="宋体" w:hAnsi="宋体"/>
          <w:szCs w:val="28"/>
        </w:rPr>
        <w:t>公司</w:t>
      </w:r>
      <w:r>
        <w:rPr>
          <w:rFonts w:hint="eastAsia"/>
          <w:szCs w:val="28"/>
        </w:rPr>
        <w:t>拥有一支以工程施工和工程管理为核心的稳定高素质人才队伍，现有员工</w:t>
      </w:r>
      <w:r>
        <w:rPr>
          <w:szCs w:val="28"/>
        </w:rPr>
        <w:t>189</w:t>
      </w:r>
      <w:r>
        <w:rPr>
          <w:rFonts w:hint="eastAsia"/>
          <w:szCs w:val="28"/>
        </w:rPr>
        <w:t>人，包括</w:t>
      </w:r>
      <w:r>
        <w:rPr>
          <w:szCs w:val="28"/>
        </w:rPr>
        <w:t>51</w:t>
      </w:r>
      <w:r>
        <w:rPr>
          <w:rFonts w:hint="eastAsia"/>
          <w:szCs w:val="28"/>
        </w:rPr>
        <w:t>名中级以上工程专业技术职称，二级以上建造师40人；并有一批丰富的工程施工及管理经验的主要业务骨干。我们始终</w:t>
      </w:r>
      <w:r>
        <w:rPr>
          <w:rFonts w:hint="eastAsia" w:ascii="宋体" w:hAnsi="宋体"/>
          <w:szCs w:val="28"/>
        </w:rPr>
        <w:t>坚持“以人为本、科学管理、安全高效、质量优先、诚信经营、和谐发展”的管理方针，及时掌握了解电力市场的新技术、新要求、新变化，通过加强企业间合作交流、设备更新、技术改造、大规模的人员培训等，在各项资源利用上提供了有力的支撑。</w:t>
      </w:r>
    </w:p>
    <w:p>
      <w:pPr>
        <w:ind w:firstLine="560" w:firstLineChars="200"/>
        <w:rPr>
          <w:rFonts w:ascii="宋体" w:hAnsi="宋体"/>
          <w:szCs w:val="28"/>
        </w:rPr>
      </w:pPr>
      <w:r>
        <w:rPr>
          <w:rFonts w:hint="eastAsia" w:ascii="宋体" w:hAnsi="宋体"/>
          <w:szCs w:val="28"/>
        </w:rPr>
        <w:t>公司专业承接220kV及以下电压等级的输、变电设施安装、城乡电网改造工程、用户电力设备安装和检修、试验及电力设备销售。基建项目是我公司主要承接电力工程项目，在2018年承接的一批有影响、有特色、重点新建工程项目中，110kV茶亭变电站工程、东盟文化博览园业扩配套延伸项目同时荣获2018年度南方电网优质工程奖。与此同时公司还以经济效益为中心，制定经营策略，遵循市场规律，以市场需求为导向，大力拓展业扩市场，积极培育新的经济增长点。施工安全管理方面，公司强化规范管理，使工程建设达到保安全、优质量、进度快、效益高的目的，无论变电及线路工程、技改修理工程、35kV以下配电工程，用户工程的施工质量均达到业主满意，并努力争取超越业主的期望要求。</w:t>
      </w:r>
    </w:p>
    <w:p>
      <w:pPr>
        <w:ind w:firstLine="560" w:firstLineChars="200"/>
        <w:rPr>
          <w:rFonts w:ascii="仿宋" w:hAnsi="仿宋" w:eastAsia="仿宋" w:cs="仿宋"/>
          <w:szCs w:val="28"/>
        </w:rPr>
      </w:pPr>
      <w:r>
        <w:rPr>
          <w:rFonts w:hint="eastAsia" w:ascii="宋体" w:hAnsi="宋体"/>
          <w:szCs w:val="28"/>
        </w:rPr>
        <w:t>百捷公司凭借过硬的施工技术和优质高效的服务真正树立了“以客为本、诚实守信”的良好社会形象及企业品牌。</w:t>
      </w:r>
      <w:r>
        <w:rPr>
          <w:rFonts w:hint="eastAsia"/>
          <w:szCs w:val="28"/>
        </w:rPr>
        <w:t>公司始终着眼于市场，坚持“共存、共荣、共发展”，</w:t>
      </w:r>
      <w:r>
        <w:rPr>
          <w:rFonts w:hint="eastAsia" w:ascii="宋体" w:hAnsi="宋体"/>
          <w:szCs w:val="28"/>
        </w:rPr>
        <w:t>以精湛的技术、细致的态度、饱满的热情致力于电力建设，不断为客户建造放心满意的优质工程和提供至真至诚的服务。</w:t>
      </w:r>
    </w:p>
    <w:p>
      <w:pPr>
        <w:pStyle w:val="2"/>
        <w:widowControl/>
        <w:spacing w:before="120" w:after="0" w:line="240" w:lineRule="auto"/>
        <w:jc w:val="center"/>
        <w:rPr>
          <w:rFonts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bCs w:val="0"/>
          <w:szCs w:val="32"/>
        </w:rPr>
      </w:pPr>
    </w:p>
    <w:p>
      <w:pPr>
        <w:rPr>
          <w:rFonts w:hint="eastAsia" w:cs="方正小标宋_GBK" w:asciiTheme="minorEastAsia" w:hAnsiTheme="minorEastAsia"/>
          <w:bCs w:val="0"/>
          <w:szCs w:val="32"/>
        </w:rPr>
      </w:pPr>
    </w:p>
    <w:p>
      <w:pPr>
        <w:rPr>
          <w:rFonts w:hint="eastAsia"/>
        </w:rPr>
      </w:pPr>
      <w:r>
        <w:rPr>
          <w:rFonts w:hint="eastAsia"/>
        </w:rPr>
        <w:br w:type="page"/>
      </w:r>
    </w:p>
    <w:p>
      <w:pPr>
        <w:rPr>
          <w:rFonts w:hint="eastAsia"/>
        </w:rPr>
      </w:pPr>
    </w:p>
    <w:p>
      <w:pPr>
        <w:pStyle w:val="2"/>
        <w:widowControl/>
        <w:spacing w:before="120" w:after="0" w:line="240" w:lineRule="auto"/>
        <w:jc w:val="center"/>
        <w:rPr>
          <w:rFonts w:cs="方正小标宋_GBK" w:asciiTheme="minorEastAsia" w:hAnsiTheme="minorEastAsia"/>
          <w:szCs w:val="32"/>
        </w:rPr>
      </w:pPr>
      <w:r>
        <w:rPr>
          <w:rFonts w:hint="eastAsia" w:cs="方正小标宋_GBK" w:asciiTheme="minorEastAsia" w:hAnsiTheme="minorEastAsia"/>
          <w:bCs w:val="0"/>
          <w:szCs w:val="32"/>
        </w:rPr>
        <w:t>广西品鑫电气设备维护有限责任公司简介</w:t>
      </w:r>
    </w:p>
    <w:p>
      <w:pPr>
        <w:widowControl/>
        <w:spacing w:before="120"/>
        <w:ind w:firstLine="640"/>
        <w:rPr>
          <w:rFonts w:ascii="仿宋_GB2312" w:hAnsi="仿宋_GB2312" w:eastAsia="仿宋_GB2312" w:cs="仿宋_GB2312"/>
          <w:sz w:val="32"/>
          <w:szCs w:val="32"/>
        </w:rPr>
      </w:pPr>
    </w:p>
    <w:p>
      <w:pPr>
        <w:widowControl/>
        <w:spacing w:before="120"/>
        <w:ind w:firstLine="640"/>
        <w:rPr>
          <w:rFonts w:asciiTheme="minorEastAsia" w:hAnsiTheme="minorEastAsia"/>
          <w:szCs w:val="28"/>
        </w:rPr>
      </w:pPr>
      <w:r>
        <w:rPr>
          <w:rFonts w:hint="eastAsia" w:cs="仿宋_GB2312" w:asciiTheme="minorEastAsia" w:hAnsiTheme="minorEastAsia"/>
          <w:szCs w:val="28"/>
        </w:rPr>
        <w:t>广西品鑫电气设备维护有限责任公司成立于2005年3月，注册资本人民币捌佰万元，</w:t>
      </w:r>
      <w:r>
        <w:rPr>
          <w:rFonts w:hint="eastAsia" w:asciiTheme="minorEastAsia" w:hAnsiTheme="minorEastAsia"/>
          <w:szCs w:val="28"/>
        </w:rPr>
        <w:t>是一家具有电力设施承装、承修、承试类四级资质及送变电工程专业承包叁级资质的电力施工企业，于2005年通过了质量、职业健康安全、环境管理体系认证，2016年通过了中国南方电网公司安全生产风险管理体系1钻评级认证。</w:t>
      </w:r>
      <w:r>
        <w:rPr>
          <w:rFonts w:hint="eastAsia" w:asciiTheme="minorEastAsia" w:hAnsiTheme="minorEastAsia"/>
          <w:szCs w:val="28"/>
        </w:rPr>
        <w:br w:type="textWrapping"/>
      </w:r>
      <w:r>
        <w:rPr>
          <w:rFonts w:asciiTheme="minorEastAsia" w:hAnsiTheme="minorEastAsia"/>
          <w:szCs w:val="28"/>
        </w:rPr>
        <w:t> </w:t>
      </w:r>
      <w:r>
        <w:rPr>
          <w:rFonts w:hint="eastAsia" w:asciiTheme="minorEastAsia" w:hAnsiTheme="minorEastAsia"/>
          <w:szCs w:val="28"/>
        </w:rPr>
        <w:t xml:space="preserve">  公司现有员工217人，具备大专及以上人员163人，专业技术职称人员154人，建造师32人。公司秉承“真诚、优质、快捷”的服务理念，拥有过硬的技术力量以及丰富的施工经验，近三年承建了“110kV仙葫站10kV仙泰910线配电自动化改造工程”、“南宁市轨道交通1号线西段道路整治提升工程大学东路（科园大道-北大北路）、衡阳西路、朝阳路10kV新建电力管道工程”等数十项南宁市重要电力施工项目，按质按期完成了南宁市各辖区内35kV及以下业扩配套及配电网紧急基建项目施工——各标段电动汽车充电设施项目等21个工程，承接东盟博览会、区人大、荔园山庄等大型社会活动的保供电任务。良好的服务质量，竭诚服务的信念，树立了专业、严谨的企业形象，在社会上赢得了一致的赞誉，成为南宁供电局等多家电网企业的友好合作伙伴。</w:t>
      </w:r>
    </w:p>
    <w:p>
      <w:pPr>
        <w:rPr>
          <w:rFonts w:hint="eastAsia" w:cs="方正小标宋_GBK" w:asciiTheme="minorEastAsia" w:hAnsiTheme="minorEastAsia"/>
          <w:bCs w:val="0"/>
          <w:szCs w:val="32"/>
        </w:rPr>
      </w:pPr>
      <w:r>
        <w:rPr>
          <w:rFonts w:hint="eastAsia" w:cs="方正小标宋_GBK" w:asciiTheme="minorEastAsia" w:hAnsiTheme="minorEastAsia"/>
          <w:bCs w:val="0"/>
          <w:szCs w:val="32"/>
        </w:rPr>
        <w:br w:type="page"/>
      </w:r>
    </w:p>
    <w:p>
      <w:pPr>
        <w:rPr>
          <w:rFonts w:hint="eastAsia"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szCs w:val="32"/>
        </w:rPr>
      </w:pPr>
      <w:r>
        <w:rPr>
          <w:rFonts w:hint="eastAsia" w:cs="方正小标宋_GBK" w:asciiTheme="minorEastAsia" w:hAnsiTheme="minorEastAsia"/>
          <w:bCs w:val="0"/>
          <w:szCs w:val="32"/>
        </w:rPr>
        <w:t>广西绿能电力勘察设计有限公司简介</w:t>
      </w:r>
    </w:p>
    <w:p>
      <w:pPr>
        <w:widowControl/>
        <w:spacing w:before="120"/>
        <w:rPr>
          <w:rFonts w:ascii="Tahoma" w:hAnsi="Tahoma" w:eastAsia="Tahoma" w:cs="Tahoma"/>
          <w:sz w:val="14"/>
          <w:szCs w:val="14"/>
        </w:rPr>
      </w:pPr>
    </w:p>
    <w:p>
      <w:pPr>
        <w:widowControl/>
        <w:spacing w:before="120"/>
        <w:ind w:firstLine="640"/>
        <w:rPr>
          <w:rFonts w:cs="仿宋_GB2312" w:asciiTheme="minorEastAsia" w:hAnsiTheme="minorEastAsia"/>
          <w:szCs w:val="28"/>
        </w:rPr>
      </w:pPr>
      <w:r>
        <w:rPr>
          <w:rFonts w:hint="eastAsia" w:cs="仿宋_GB2312" w:asciiTheme="minorEastAsia" w:hAnsiTheme="minorEastAsia"/>
          <w:szCs w:val="28"/>
        </w:rPr>
        <w:t>广西绿能</w:t>
      </w:r>
      <w:r>
        <w:rPr>
          <w:rFonts w:hint="eastAsia" w:asciiTheme="minorEastAsia" w:hAnsiTheme="minorEastAsia"/>
          <w:szCs w:val="28"/>
        </w:rPr>
        <w:t>电力勘察设计有限公司前身为1979年成立的南宁供电局设计室，专业从事电力工程设计及管理40年。公司注册资本人民币贰仟万元，具备送变电设计乙级、新能源发电设计乙级、建筑设计丙级、工程勘察乙级、工程咨询乙级资质、测绘资质丙级等资质。公司现有员工214人，本科及以上学历167人，中高级专业技术资格101人，注册电气工程师等专业类别执业资格持证员工12人。公司为国家级高新技术企业，中国南方电网配电网设计标准制定企业，承接广西电网重大建设、规划项目骨干设计企业，广西区内首家新能源发电投产项目设计企业，近三年来，“</w:t>
      </w:r>
      <w:r>
        <w:rPr>
          <w:rFonts w:hint="eastAsia" w:asciiTheme="minorEastAsia" w:hAnsiTheme="minorEastAsia"/>
          <w:color w:val="000000"/>
          <w:szCs w:val="28"/>
        </w:rPr>
        <w:t>220kV龙象送变电工程可行性研究报告</w:t>
      </w:r>
      <w:r>
        <w:rPr>
          <w:rFonts w:hint="eastAsia" w:asciiTheme="minorEastAsia" w:hAnsiTheme="minorEastAsia"/>
          <w:szCs w:val="28"/>
        </w:rPr>
        <w:t>”等20余项工程荣获中国南方电网、自治区发改委、自治区住建厅颁发的省市级优秀（优质）工程奖。</w:t>
      </w:r>
    </w:p>
    <w:p>
      <w:pPr>
        <w:widowControl/>
        <w:spacing w:before="120"/>
        <w:ind w:firstLine="640"/>
        <w:rPr>
          <w:rFonts w:asciiTheme="minorEastAsia" w:hAnsiTheme="minorEastAsia"/>
          <w:szCs w:val="28"/>
        </w:rPr>
      </w:pPr>
    </w:p>
    <w:p>
      <w:pPr>
        <w:widowControl/>
        <w:spacing w:before="120"/>
        <w:ind w:firstLine="641"/>
        <w:rPr>
          <w:rFonts w:cs="仿宋_GB2312" w:asciiTheme="minorEastAsia" w:hAnsiTheme="minorEastAsia"/>
          <w:kern w:val="0"/>
          <w:szCs w:val="28"/>
        </w:rPr>
      </w:pPr>
    </w:p>
    <w:p>
      <w:pPr>
        <w:pStyle w:val="2"/>
        <w:widowControl/>
        <w:spacing w:before="120" w:after="0" w:line="240" w:lineRule="auto"/>
        <w:jc w:val="center"/>
        <w:rPr>
          <w:rFonts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bCs w:val="0"/>
          <w:szCs w:val="32"/>
        </w:rPr>
      </w:pPr>
    </w:p>
    <w:p>
      <w:pPr>
        <w:widowControl/>
        <w:spacing w:before="120"/>
        <w:rPr>
          <w:rFonts w:ascii="Tahoma" w:hAnsi="Tahoma" w:eastAsia="Tahoma" w:cs="Tahoma"/>
          <w:sz w:val="14"/>
          <w:szCs w:val="14"/>
        </w:rPr>
      </w:pPr>
    </w:p>
    <w:p>
      <w:pPr>
        <w:rPr>
          <w:rFonts w:cs="仿宋_GB2312" w:asciiTheme="minorEastAsia" w:hAnsiTheme="minorEastAsia"/>
          <w:kern w:val="0"/>
          <w:szCs w:val="28"/>
        </w:rPr>
      </w:pPr>
      <w:r>
        <w:rPr>
          <w:rFonts w:cs="仿宋_GB2312" w:asciiTheme="minorEastAsia" w:hAnsiTheme="minorEastAsia"/>
          <w:kern w:val="0"/>
          <w:szCs w:val="28"/>
        </w:rPr>
        <w:br w:type="page"/>
      </w:r>
    </w:p>
    <w:p>
      <w:pPr>
        <w:widowControl/>
        <w:spacing w:before="120"/>
        <w:ind w:firstLine="560" w:firstLineChars="200"/>
        <w:rPr>
          <w:rFonts w:cs="仿宋_GB2312" w:asciiTheme="minorEastAsia" w:hAnsiTheme="minorEastAsia"/>
          <w:kern w:val="0"/>
          <w:szCs w:val="28"/>
        </w:rPr>
      </w:pPr>
    </w:p>
    <w:p>
      <w:pPr>
        <w:pStyle w:val="2"/>
        <w:widowControl/>
        <w:spacing w:before="120" w:after="0" w:line="240" w:lineRule="auto"/>
        <w:jc w:val="center"/>
        <w:rPr>
          <w:rFonts w:cs="方正小标宋_GBK" w:asciiTheme="minorEastAsia" w:hAnsiTheme="minorEastAsia"/>
          <w:bCs w:val="0"/>
          <w:szCs w:val="32"/>
        </w:rPr>
      </w:pPr>
      <w:r>
        <w:rPr>
          <w:rFonts w:hint="eastAsia" w:cs="方正小标宋_GBK" w:asciiTheme="minorEastAsia" w:hAnsiTheme="minorEastAsia"/>
          <w:bCs w:val="0"/>
          <w:szCs w:val="32"/>
        </w:rPr>
        <w:t>广西万信工程咨询有限责任公司简介</w:t>
      </w:r>
    </w:p>
    <w:p>
      <w:pPr>
        <w:widowControl/>
        <w:spacing w:before="120"/>
        <w:ind w:firstLine="560" w:firstLineChars="200"/>
        <w:rPr>
          <w:rFonts w:cs="仿宋_GB2312" w:asciiTheme="minorEastAsia" w:hAnsiTheme="minorEastAsia"/>
          <w:kern w:val="0"/>
          <w:szCs w:val="28"/>
        </w:rPr>
      </w:pPr>
    </w:p>
    <w:p>
      <w:pPr>
        <w:widowControl/>
        <w:spacing w:before="120"/>
        <w:ind w:firstLine="560" w:firstLineChars="200"/>
        <w:rPr>
          <w:rFonts w:cs="仿宋_GB2312" w:asciiTheme="minorEastAsia" w:hAnsiTheme="minorEastAsia"/>
          <w:kern w:val="0"/>
          <w:szCs w:val="28"/>
        </w:rPr>
      </w:pPr>
      <w:r>
        <w:rPr>
          <w:rFonts w:hint="eastAsia" w:cs="仿宋_GB2312" w:asciiTheme="minorEastAsia" w:hAnsiTheme="minorEastAsia"/>
          <w:kern w:val="0"/>
          <w:szCs w:val="28"/>
        </w:rPr>
        <w:t>广西万信工程咨询有限责任公司成立于2013年，注册资本人民币壹仟万元。公司的主要经营范围包括:电力工程设计（送电工程、变电工程）专业乙级（可从事资质证书许可范围内相应的建设工程总承包业务以及项目管理和相关的技术与管理服务）、新能源发电设计、建筑工程设计、电力工程监理乙级、市政工程监理乙级、房屋建筑工程监理、电力工程勘察、电力工程咨询、电力工程造价咨询,是一家具备220kV及以下电力工程设计、监理、造价咨询、电力工程总承包等综合业务的新兴企业。现有员工 127人，本科及以上学历58人，中高级专业技术资格近40人，注册电气工程师等专业类别执业资格持证员工16人。主要提供有关电力行业、新能源行业的各类技术咨询服务和并网接入解决方案及电力工程、市政公用工程项目的监理业务。公司获得了ISO9001:2015质量管理体系认证证书、ISO14001：2015环境管理体系认证证书、OHSAS18001：2007职业健康安全管理体系认证证书。为广西勘察设计协会会员单位、广西建设监理协会会员单位、广西工程咨询协会会员单位。</w:t>
      </w:r>
    </w:p>
    <w:p>
      <w:pPr>
        <w:widowControl/>
        <w:spacing w:before="120"/>
        <w:ind w:firstLine="641"/>
        <w:rPr>
          <w:rFonts w:cs="仿宋_GB2312" w:asciiTheme="minorEastAsia" w:hAnsiTheme="minorEastAsia"/>
          <w:kern w:val="0"/>
          <w:szCs w:val="28"/>
        </w:rPr>
      </w:pPr>
    </w:p>
    <w:p>
      <w:pPr>
        <w:widowControl/>
        <w:spacing w:before="120"/>
        <w:ind w:firstLine="641"/>
        <w:rPr>
          <w:rFonts w:cs="仿宋_GB2312" w:asciiTheme="minorEastAsia" w:hAnsiTheme="minorEastAsia"/>
          <w:kern w:val="0"/>
          <w:szCs w:val="28"/>
        </w:rPr>
      </w:pPr>
    </w:p>
    <w:p>
      <w:pPr>
        <w:widowControl/>
        <w:spacing w:before="120"/>
        <w:ind w:firstLine="641"/>
        <w:rPr>
          <w:rFonts w:cs="仿宋_GB2312" w:asciiTheme="minorEastAsia" w:hAnsiTheme="minorEastAsia"/>
          <w:kern w:val="0"/>
          <w:szCs w:val="28"/>
        </w:rPr>
      </w:pPr>
    </w:p>
    <w:p>
      <w:pPr>
        <w:rPr>
          <w:rFonts w:cs="仿宋_GB2312" w:asciiTheme="minorEastAsia" w:hAnsiTheme="minorEastAsia"/>
          <w:kern w:val="0"/>
          <w:szCs w:val="28"/>
        </w:rPr>
      </w:pPr>
      <w:r>
        <w:rPr>
          <w:rFonts w:cs="仿宋_GB2312" w:asciiTheme="minorEastAsia" w:hAnsiTheme="minorEastAsia"/>
          <w:kern w:val="0"/>
          <w:szCs w:val="28"/>
        </w:rPr>
        <w:br w:type="page"/>
      </w:r>
    </w:p>
    <w:p>
      <w:pPr>
        <w:widowControl/>
        <w:spacing w:before="120"/>
        <w:ind w:firstLine="641"/>
        <w:rPr>
          <w:rFonts w:cs="仿宋_GB2312" w:asciiTheme="minorEastAsia" w:hAnsiTheme="minorEastAsia"/>
          <w:kern w:val="0"/>
          <w:szCs w:val="28"/>
        </w:rPr>
      </w:pPr>
    </w:p>
    <w:p>
      <w:pPr>
        <w:pStyle w:val="2"/>
        <w:widowControl/>
        <w:spacing w:before="120" w:after="0" w:line="240" w:lineRule="auto"/>
        <w:jc w:val="center"/>
        <w:rPr>
          <w:rFonts w:cs="方正小标宋_GBK" w:asciiTheme="minorEastAsia" w:hAnsiTheme="minorEastAsia"/>
          <w:bCs w:val="0"/>
          <w:szCs w:val="32"/>
        </w:rPr>
      </w:pPr>
      <w:r>
        <w:rPr>
          <w:rFonts w:hint="eastAsia" w:cs="方正小标宋_GBK" w:asciiTheme="minorEastAsia" w:hAnsiTheme="minorEastAsia"/>
          <w:bCs w:val="0"/>
          <w:szCs w:val="32"/>
        </w:rPr>
        <w:t>南宁宇能物业服务有限责任公司简介</w:t>
      </w:r>
    </w:p>
    <w:p>
      <w:pPr>
        <w:widowControl/>
        <w:spacing w:before="120"/>
        <w:rPr>
          <w:rFonts w:ascii="Tahoma" w:hAnsi="Tahoma" w:eastAsia="Tahoma" w:cs="Tahoma"/>
          <w:sz w:val="14"/>
          <w:szCs w:val="14"/>
        </w:rPr>
      </w:pPr>
    </w:p>
    <w:p>
      <w:pPr>
        <w:widowControl/>
        <w:spacing w:before="120"/>
        <w:ind w:firstLine="640"/>
        <w:rPr>
          <w:rFonts w:cs="仿宋_GB2312" w:asciiTheme="minorEastAsia" w:hAnsiTheme="minorEastAsia"/>
          <w:szCs w:val="28"/>
        </w:rPr>
      </w:pPr>
      <w:r>
        <w:rPr>
          <w:rFonts w:hint="eastAsia" w:cs="仿宋_GB2312" w:asciiTheme="minorEastAsia" w:hAnsiTheme="minorEastAsia"/>
          <w:szCs w:val="28"/>
        </w:rPr>
        <w:t>南宁宇能物业服务有限责任公司成立于1993年4月22日，注册资本人民币叁佰万元，公司具有物业管理企业贰级资质。</w:t>
      </w:r>
    </w:p>
    <w:p>
      <w:pPr>
        <w:widowControl/>
        <w:spacing w:before="120"/>
        <w:ind w:firstLine="640"/>
        <w:rPr>
          <w:rFonts w:cs="仿宋_GB2312" w:asciiTheme="minorEastAsia" w:hAnsiTheme="minorEastAsia"/>
          <w:szCs w:val="28"/>
        </w:rPr>
      </w:pPr>
      <w:r>
        <w:rPr>
          <w:rFonts w:hint="eastAsia" w:cs="仿宋_GB2312" w:asciiTheme="minorEastAsia" w:hAnsiTheme="minorEastAsia"/>
          <w:szCs w:val="28"/>
        </w:rPr>
        <w:t>公司业务涵盖物业管理企业、房地产企业，现有员工人数近1千名。拥有二级建造师8人，物业管理师6人，中级以上专业技术职称22人及各类职业资格证书人员81人。</w:t>
      </w:r>
    </w:p>
    <w:p>
      <w:pPr>
        <w:widowControl/>
        <w:spacing w:before="120"/>
        <w:ind w:firstLine="640"/>
        <w:rPr>
          <w:rFonts w:cs="仿宋_GB2312" w:asciiTheme="minorEastAsia" w:hAnsiTheme="minorEastAsia"/>
          <w:szCs w:val="28"/>
        </w:rPr>
      </w:pPr>
      <w:r>
        <w:rPr>
          <w:rFonts w:hint="eastAsia" w:cs="仿宋_GB2312" w:asciiTheme="minorEastAsia" w:hAnsiTheme="minorEastAsia"/>
          <w:szCs w:val="28"/>
        </w:rPr>
        <w:t>公司管理的项目荣获“南宁市城市物业管理优秀住宅小区”、 “广西壮族自治区卫生先进单位”、中央精神文明建设指导委员会“全国文明单位”、中共南宁市委南宁市人民政府“先进单位”、“广西壮族自治区文明卫生庭院”、“南宁市绿色环保小区”等荣誉称号。</w:t>
      </w:r>
    </w:p>
    <w:p>
      <w:pPr>
        <w:widowControl/>
        <w:spacing w:before="120"/>
        <w:ind w:firstLine="640"/>
        <w:rPr>
          <w:rFonts w:cs="仿宋_GB2312" w:asciiTheme="minorEastAsia" w:hAnsiTheme="minorEastAsia"/>
          <w:szCs w:val="28"/>
        </w:rPr>
      </w:pPr>
      <w:r>
        <w:rPr>
          <w:rFonts w:hint="eastAsia" w:cs="仿宋_GB2312" w:asciiTheme="minorEastAsia" w:hAnsiTheme="minorEastAsia"/>
          <w:szCs w:val="28"/>
        </w:rPr>
        <w:t>2018年公司荣获广西物业服务百姓口碑企业榜：“百姓口碑奖物业服务企业品牌”、“综合实力奖物业服务企业品牌”、“金牌好管家物业服务企业品牌”等荣誉。</w:t>
      </w:r>
    </w:p>
    <w:p>
      <w:pPr>
        <w:widowControl/>
        <w:spacing w:before="120"/>
        <w:ind w:firstLine="640"/>
        <w:rPr>
          <w:rFonts w:cs="仿宋_GB2312" w:asciiTheme="minorEastAsia" w:hAnsiTheme="minorEastAsia"/>
          <w:szCs w:val="28"/>
        </w:rPr>
      </w:pPr>
      <w:r>
        <w:rPr>
          <w:rFonts w:hint="eastAsia" w:cs="仿宋_GB2312" w:asciiTheme="minorEastAsia" w:hAnsiTheme="minorEastAsia"/>
          <w:szCs w:val="28"/>
        </w:rPr>
        <w:t xml:space="preserve">公司目前管理的物业类型涉及普通住宅、高端住宅、写字楼、企业办公楼、营业服务厅、变电站等多种业态，服务面积150余万平方米。服务范围涉及专业设备设施的维护保养服务、建筑装饰装修、园林绿化、清洁、秩序维护、空调、电梯等相关设施的维修与保养及食堂管理等多个领域。 </w:t>
      </w:r>
    </w:p>
    <w:p>
      <w:pPr>
        <w:pStyle w:val="15"/>
        <w:rPr>
          <w:rFonts w:asciiTheme="minorEastAsia" w:hAnsiTheme="minorEastAsia" w:eastAsiaTheme="minorEastAsia"/>
          <w:sz w:val="28"/>
          <w:szCs w:val="28"/>
        </w:rPr>
      </w:pPr>
      <w:r>
        <w:rPr>
          <w:rFonts w:hint="eastAsia" w:asciiTheme="minorEastAsia" w:hAnsiTheme="minorEastAsia" w:eastAsiaTheme="minorEastAsia"/>
          <w:sz w:val="28"/>
          <w:szCs w:val="28"/>
        </w:rPr>
        <w:t>窗体底端</w:t>
      </w:r>
    </w:p>
    <w:p>
      <w:pPr>
        <w:pStyle w:val="15"/>
        <w:rPr>
          <w:rFonts w:asciiTheme="minorEastAsia" w:hAnsiTheme="minorEastAsia" w:eastAsiaTheme="minorEastAsia"/>
          <w:sz w:val="28"/>
          <w:szCs w:val="28"/>
        </w:rPr>
      </w:pPr>
      <w:r>
        <w:rPr>
          <w:rFonts w:hint="eastAsia" w:asciiTheme="minorEastAsia" w:hAnsiTheme="minorEastAsia" w:eastAsiaTheme="minorEastAsia"/>
          <w:sz w:val="28"/>
          <w:szCs w:val="28"/>
        </w:rPr>
        <w:t>窗体底端</w:t>
      </w:r>
    </w:p>
    <w:p>
      <w:pPr>
        <w:pStyle w:val="15"/>
        <w:rPr>
          <w:rFonts w:asciiTheme="minorEastAsia" w:hAnsiTheme="minorEastAsia" w:eastAsiaTheme="minorEastAsia"/>
          <w:sz w:val="28"/>
          <w:szCs w:val="28"/>
        </w:rPr>
      </w:pPr>
      <w:r>
        <w:rPr>
          <w:rFonts w:hint="eastAsia" w:asciiTheme="minorEastAsia" w:hAnsiTheme="minorEastAsia" w:eastAsiaTheme="minorEastAsia"/>
          <w:sz w:val="28"/>
          <w:szCs w:val="28"/>
        </w:rPr>
        <w:t>窗体底端</w:t>
      </w:r>
    </w:p>
    <w:p>
      <w:pPr>
        <w:rPr>
          <w:rFonts w:asciiTheme="minorEastAsia" w:hAnsiTheme="minorEastAsia"/>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05E1"/>
    <w:rsid w:val="00017A7B"/>
    <w:rsid w:val="00044ED6"/>
    <w:rsid w:val="00062BDB"/>
    <w:rsid w:val="00065523"/>
    <w:rsid w:val="00086BAF"/>
    <w:rsid w:val="000A174C"/>
    <w:rsid w:val="000A248F"/>
    <w:rsid w:val="000F4B99"/>
    <w:rsid w:val="001179C4"/>
    <w:rsid w:val="00122CA0"/>
    <w:rsid w:val="00135942"/>
    <w:rsid w:val="001419D6"/>
    <w:rsid w:val="00162FCB"/>
    <w:rsid w:val="00174648"/>
    <w:rsid w:val="00195DCD"/>
    <w:rsid w:val="001C3C69"/>
    <w:rsid w:val="001F5573"/>
    <w:rsid w:val="002211CA"/>
    <w:rsid w:val="002E2920"/>
    <w:rsid w:val="002F2260"/>
    <w:rsid w:val="00305666"/>
    <w:rsid w:val="003446F5"/>
    <w:rsid w:val="00363F17"/>
    <w:rsid w:val="0038754C"/>
    <w:rsid w:val="00397C38"/>
    <w:rsid w:val="003A5531"/>
    <w:rsid w:val="003A653E"/>
    <w:rsid w:val="003B7459"/>
    <w:rsid w:val="003D3FAF"/>
    <w:rsid w:val="003E6CF9"/>
    <w:rsid w:val="003E747F"/>
    <w:rsid w:val="003F4080"/>
    <w:rsid w:val="0042777C"/>
    <w:rsid w:val="00427E9D"/>
    <w:rsid w:val="00451DF3"/>
    <w:rsid w:val="00464F4F"/>
    <w:rsid w:val="00486311"/>
    <w:rsid w:val="00493E1B"/>
    <w:rsid w:val="004B6040"/>
    <w:rsid w:val="004C2459"/>
    <w:rsid w:val="00511CC4"/>
    <w:rsid w:val="00541873"/>
    <w:rsid w:val="00562926"/>
    <w:rsid w:val="00571C65"/>
    <w:rsid w:val="005A20EA"/>
    <w:rsid w:val="005B2506"/>
    <w:rsid w:val="005B338D"/>
    <w:rsid w:val="005D0E42"/>
    <w:rsid w:val="00603A78"/>
    <w:rsid w:val="0060725A"/>
    <w:rsid w:val="00621E87"/>
    <w:rsid w:val="00640A73"/>
    <w:rsid w:val="006A2215"/>
    <w:rsid w:val="006B391A"/>
    <w:rsid w:val="006D2BBA"/>
    <w:rsid w:val="00715B66"/>
    <w:rsid w:val="007171F6"/>
    <w:rsid w:val="00732542"/>
    <w:rsid w:val="00742778"/>
    <w:rsid w:val="00764C96"/>
    <w:rsid w:val="007C18C7"/>
    <w:rsid w:val="007E03B5"/>
    <w:rsid w:val="007E35E2"/>
    <w:rsid w:val="007E4DD5"/>
    <w:rsid w:val="007F5A73"/>
    <w:rsid w:val="008042BC"/>
    <w:rsid w:val="00815871"/>
    <w:rsid w:val="008229B4"/>
    <w:rsid w:val="00881174"/>
    <w:rsid w:val="0089412A"/>
    <w:rsid w:val="008B28E9"/>
    <w:rsid w:val="008D641A"/>
    <w:rsid w:val="008D6B6F"/>
    <w:rsid w:val="008F3A4C"/>
    <w:rsid w:val="008F666E"/>
    <w:rsid w:val="008F7169"/>
    <w:rsid w:val="00906C78"/>
    <w:rsid w:val="00912515"/>
    <w:rsid w:val="009410CD"/>
    <w:rsid w:val="00943A7F"/>
    <w:rsid w:val="0097783B"/>
    <w:rsid w:val="00990E79"/>
    <w:rsid w:val="00991D92"/>
    <w:rsid w:val="00995AA8"/>
    <w:rsid w:val="00996DB6"/>
    <w:rsid w:val="009D0028"/>
    <w:rsid w:val="009D2413"/>
    <w:rsid w:val="009E30E5"/>
    <w:rsid w:val="009E4CED"/>
    <w:rsid w:val="009F5406"/>
    <w:rsid w:val="00A0249E"/>
    <w:rsid w:val="00A13FA6"/>
    <w:rsid w:val="00A140A6"/>
    <w:rsid w:val="00A80FEC"/>
    <w:rsid w:val="00AA2955"/>
    <w:rsid w:val="00AA6ACC"/>
    <w:rsid w:val="00AB75B7"/>
    <w:rsid w:val="00AC4678"/>
    <w:rsid w:val="00AE2D02"/>
    <w:rsid w:val="00AE42BB"/>
    <w:rsid w:val="00AF53AB"/>
    <w:rsid w:val="00B01CA3"/>
    <w:rsid w:val="00B17B47"/>
    <w:rsid w:val="00B96C1A"/>
    <w:rsid w:val="00BA7ED7"/>
    <w:rsid w:val="00BF6EBA"/>
    <w:rsid w:val="00C04BBF"/>
    <w:rsid w:val="00C05DD9"/>
    <w:rsid w:val="00C176C5"/>
    <w:rsid w:val="00C46B6F"/>
    <w:rsid w:val="00C54F2C"/>
    <w:rsid w:val="00C87B81"/>
    <w:rsid w:val="00CB2F69"/>
    <w:rsid w:val="00CD4767"/>
    <w:rsid w:val="00CD763E"/>
    <w:rsid w:val="00CF2A58"/>
    <w:rsid w:val="00CF7485"/>
    <w:rsid w:val="00D0352D"/>
    <w:rsid w:val="00D046E9"/>
    <w:rsid w:val="00D3443F"/>
    <w:rsid w:val="00D34E46"/>
    <w:rsid w:val="00D65943"/>
    <w:rsid w:val="00D82EE7"/>
    <w:rsid w:val="00D83C56"/>
    <w:rsid w:val="00D91A16"/>
    <w:rsid w:val="00DA149B"/>
    <w:rsid w:val="00DA2EDB"/>
    <w:rsid w:val="00DA63F8"/>
    <w:rsid w:val="00DC63D0"/>
    <w:rsid w:val="00DD5261"/>
    <w:rsid w:val="00DE1DF8"/>
    <w:rsid w:val="00DF37C2"/>
    <w:rsid w:val="00E065DF"/>
    <w:rsid w:val="00E43A6C"/>
    <w:rsid w:val="00E56661"/>
    <w:rsid w:val="00EF45FB"/>
    <w:rsid w:val="00F0519B"/>
    <w:rsid w:val="00F475D3"/>
    <w:rsid w:val="00F505E1"/>
    <w:rsid w:val="00F91919"/>
    <w:rsid w:val="00FC5C6B"/>
    <w:rsid w:val="00FD1D75"/>
    <w:rsid w:val="00FD4536"/>
    <w:rsid w:val="00FF2926"/>
    <w:rsid w:val="54E804B1"/>
    <w:rsid w:val="7E306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32"/>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标题 1 Char"/>
    <w:basedOn w:val="7"/>
    <w:link w:val="2"/>
    <w:uiPriority w:val="9"/>
    <w:rPr>
      <w:b/>
      <w:bCs/>
      <w:kern w:val="44"/>
      <w:sz w:val="32"/>
      <w:szCs w:val="44"/>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批注框文本 Char"/>
    <w:basedOn w:val="7"/>
    <w:link w:val="3"/>
    <w:semiHidden/>
    <w:uiPriority w:val="99"/>
    <w:rPr>
      <w:sz w:val="18"/>
      <w:szCs w:val="18"/>
    </w:rPr>
  </w:style>
  <w:style w:type="paragraph" w:customStyle="1" w:styleId="13">
    <w:name w:val="HTML Top of Form"/>
    <w:basedOn w:val="1"/>
    <w:next w:val="1"/>
    <w:link w:val="14"/>
    <w:semiHidden/>
    <w:unhideWhenUsed/>
    <w:uiPriority w:val="0"/>
    <w:pPr>
      <w:pBdr>
        <w:bottom w:val="single" w:color="auto" w:sz="6" w:space="1"/>
      </w:pBdr>
      <w:jc w:val="center"/>
    </w:pPr>
    <w:rPr>
      <w:rFonts w:ascii="Arial" w:hAnsi="Arial" w:eastAsia="宋体" w:cs="Arial"/>
      <w:vanish/>
      <w:sz w:val="16"/>
      <w:szCs w:val="16"/>
    </w:rPr>
  </w:style>
  <w:style w:type="character" w:customStyle="1" w:styleId="14">
    <w:name w:val="z-窗体顶端 Char"/>
    <w:basedOn w:val="7"/>
    <w:link w:val="13"/>
    <w:semiHidden/>
    <w:uiPriority w:val="0"/>
    <w:rPr>
      <w:rFonts w:ascii="Arial" w:hAnsi="Arial" w:eastAsia="宋体" w:cs="Arial"/>
      <w:vanish/>
      <w:sz w:val="16"/>
      <w:szCs w:val="16"/>
    </w:rPr>
  </w:style>
  <w:style w:type="paragraph" w:customStyle="1" w:styleId="15">
    <w:name w:val="HTML Bottom of Form"/>
    <w:basedOn w:val="1"/>
    <w:next w:val="1"/>
    <w:link w:val="16"/>
    <w:semiHidden/>
    <w:unhideWhenUsed/>
    <w:uiPriority w:val="0"/>
    <w:pPr>
      <w:pBdr>
        <w:top w:val="single" w:color="auto" w:sz="6" w:space="1"/>
      </w:pBdr>
      <w:jc w:val="center"/>
    </w:pPr>
    <w:rPr>
      <w:rFonts w:ascii="Arial" w:hAnsi="Arial" w:eastAsia="宋体" w:cs="Arial"/>
      <w:vanish/>
      <w:sz w:val="16"/>
      <w:szCs w:val="16"/>
    </w:rPr>
  </w:style>
  <w:style w:type="character" w:customStyle="1" w:styleId="16">
    <w:name w:val="z-窗体底端 Char"/>
    <w:basedOn w:val="7"/>
    <w:link w:val="15"/>
    <w:semiHidden/>
    <w:uiPriority w:val="0"/>
    <w:rPr>
      <w:rFonts w:ascii="Arial" w:hAnsi="Arial" w:eastAsia="宋体" w:cs="Arial"/>
      <w:vanish/>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732B6-0823-4333-8617-1F4AF78F3F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861</Words>
  <Characters>4908</Characters>
  <Lines>40</Lines>
  <Paragraphs>11</Paragraphs>
  <TotalTime>445</TotalTime>
  <ScaleCrop>false</ScaleCrop>
  <LinksUpToDate>false</LinksUpToDate>
  <CharactersWithSpaces>5758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2016-09-18T07:20:00Z</dcterms:created>
  <dc:creator>王玉</dc:creator>
  <cp:lastModifiedBy>道理</cp:lastModifiedBy>
  <cp:lastPrinted>2019-12-19T07:27:37Z</cp:lastPrinted>
  <dcterms:modified xsi:type="dcterms:W3CDTF">2019-12-19T07:31:50Z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