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ind w:left="0" w:firstLine="0"/>
        <w:jc w:val="center"/>
        <w:rPr>
          <w:rFonts w:ascii="����" w:hAnsi="����" w:eastAsia="����" w:cs="����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2018年南宁市兴宁区事业单位应届毕业生双向选择计划表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sz w:val="16"/>
          <w:szCs w:val="16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sz w:val="16"/>
          <w:szCs w:val="16"/>
        </w:rPr>
      </w:pPr>
    </w:p>
    <w:tbl>
      <w:tblPr>
        <w:tblW w:w="8322" w:type="dxa"/>
        <w:tblInd w:w="0" w:type="dxa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235"/>
        <w:gridCol w:w="469"/>
        <w:gridCol w:w="878"/>
        <w:gridCol w:w="5218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8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52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5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  <w:t>南宁市兴桂路小学科学实验员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  <w:t>测绘科学与技术类</w:t>
            </w:r>
          </w:p>
        </w:tc>
        <w:tc>
          <w:tcPr>
            <w:tcW w:w="52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  <w:t>2018年985或211院校全日制本科及以上学历毕业生，或非985或211院校全日制硕士研究生及以上学历毕业生，符合组织考核条件，获得相应学位，成绩优异。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ascii="新宋体" w:hAnsi="新宋体" w:eastAsia="新宋体" w:cs="新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报名时间：2018年12月3日—12月11日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ascii="新宋体" w:hAnsi="新宋体" w:eastAsia="新宋体" w:cs="新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报名地点：南宁市兴宁区人社局（南宁市厢竹大道63号1010室），联系电话：0771-3211965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ascii="新宋体" w:hAnsi="新宋体" w:eastAsia="新宋体" w:cs="新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                                     南宁市兴宁区人社局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ascii="新宋体" w:hAnsi="新宋体" w:eastAsia="新宋体" w:cs="新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                                           2018-12-3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C1184"/>
    <w:rsid w:val="174C1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2018-12-03T11:49:00Z</dcterms:created>
  <dc:creator>石虎哥</dc:creator>
  <cp:lastModifiedBy>石虎哥</cp:lastModifiedBy>
  <dcterms:modified xsi:type="dcterms:W3CDTF">2018-12-03T11:49:50Z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