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仿宋_GB2312" w:hAnsi="仿宋_GB2312" w:eastAsia="仿宋_GB2312" w:cs="仿宋_GB2312"/>
          <w:b/>
          <w:i w:val="0"/>
          <w:caps w:val="0"/>
          <w:color w:val="6E6F6F"/>
          <w:spacing w:val="0"/>
          <w:kern w:val="0"/>
          <w:sz w:val="36"/>
          <w:szCs w:val="36"/>
          <w:shd w:val="clear" w:fill="FFFFFF"/>
          <w:lang w:val="en-US" w:eastAsia="zh-CN" w:bidi="ar"/>
        </w:rPr>
        <w:t>招聘岗位、资格条件及要求</w:t>
      </w:r>
    </w:p>
    <w:bookmarkEnd w:id="0"/>
    <w:tbl>
      <w:tblPr>
        <w:tblW w:w="8454" w:type="dxa"/>
        <w:tblCellSpacing w:w="15" w:type="dxa"/>
        <w:tblInd w:w="7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2021"/>
        <w:gridCol w:w="761"/>
        <w:gridCol w:w="1259"/>
        <w:gridCol w:w="441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15" w:type="dxa"/>
        </w:trPr>
        <w:tc>
          <w:tcPr>
            <w:tcW w:w="1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6"/>
                <w:szCs w:val="3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6"/>
                <w:szCs w:val="3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6"/>
                <w:szCs w:val="3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3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6"/>
                <w:szCs w:val="3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岗位资格要求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15" w:type="dxa"/>
        </w:trPr>
        <w:tc>
          <w:tcPr>
            <w:tcW w:w="197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6"/>
                <w:szCs w:val="3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6"/>
                <w:szCs w:val="3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6"/>
                <w:szCs w:val="3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43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6"/>
                <w:szCs w:val="36"/>
                <w:lang w:val="en-US" w:eastAsia="zh-CN" w:bidi="ar"/>
              </w:rPr>
              <w:t> 1、全日制大学专科及以 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2、具有相应工作经验者优先。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36DE0"/>
    <w:rsid w:val="57136DE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2018-05-23T01:15:00Z</dcterms:created>
  <dc:creator>ASUS</dc:creator>
  <cp:lastModifiedBy>ASUS</cp:lastModifiedBy>
  <dcterms:modified xsi:type="dcterms:W3CDTF">2018-05-23T01:15:38Z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