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  <w:jc w:val="righ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  <w:jc w:val="center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中共柳州市委党校2018年专职教师招聘条件表</w:t>
      </w:r>
    </w:p>
    <w:tbl>
      <w:tblPr>
        <w:tblW w:w="8513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571"/>
        <w:gridCol w:w="663"/>
        <w:gridCol w:w="1146"/>
        <w:gridCol w:w="199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66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岗位名称</w:t>
            </w:r>
          </w:p>
        </w:tc>
        <w:tc>
          <w:tcPr>
            <w:tcW w:w="157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岗位说明</w:t>
            </w:r>
          </w:p>
        </w:tc>
        <w:tc>
          <w:tcPr>
            <w:tcW w:w="66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招聘数量</w:t>
            </w:r>
          </w:p>
        </w:tc>
        <w:tc>
          <w:tcPr>
            <w:tcW w:w="1146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专业</w:t>
            </w:r>
          </w:p>
        </w:tc>
        <w:tc>
          <w:tcPr>
            <w:tcW w:w="199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招聘条件</w:t>
            </w:r>
          </w:p>
        </w:tc>
        <w:tc>
          <w:tcPr>
            <w:tcW w:w="247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 xml:space="preserve">其 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66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专职教师</w:t>
            </w:r>
          </w:p>
        </w:tc>
        <w:tc>
          <w:tcPr>
            <w:tcW w:w="157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从事教学、科研以及学员管理工作。</w:t>
            </w:r>
          </w:p>
        </w:tc>
        <w:tc>
          <w:tcPr>
            <w:tcW w:w="66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2名</w:t>
            </w:r>
          </w:p>
        </w:tc>
        <w:tc>
          <w:tcPr>
            <w:tcW w:w="1146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经济学类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、法学类、中共党史</w:t>
            </w:r>
          </w:p>
        </w:tc>
        <w:tc>
          <w:tcPr>
            <w:tcW w:w="199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1.2018年应届毕业；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2.获硕士以上学位研究生；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3.其他专业经济学或法学研究方向的博士亦可报名。</w:t>
            </w:r>
          </w:p>
        </w:tc>
        <w:tc>
          <w:tcPr>
            <w:tcW w:w="247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1.硕士研究生最低服务年限3年；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7" w:lineRule="atLeast"/>
            </w:pPr>
            <w:r>
              <w:rPr>
                <w:rFonts w:hint="eastAsia" w:ascii="宋体" w:hAnsi="宋体" w:eastAsia="宋体" w:cs="宋体"/>
                <w:i w:val="0"/>
                <w:bdr w:val="none" w:color="auto" w:sz="0" w:space="0"/>
              </w:rPr>
              <w:t>2.博士研究生最低服务年限5年。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备注：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硕士待遇：获全额拨款事业编制，享受柳州市全额拨款事业单位工作人员工资待遇；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博士待遇：1.获全额拨款事业编制，享受柳州市全额拨款事业单位工作人员工资待遇；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2.享受市政府提供的20万元人才住房和安家补助奖励；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3.享受校内1套三室一厅（约90平米）公寓使用权；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4.享受5-10万元科研启动经费；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7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5.配偶安置和子女就读享</w:t>
      </w:r>
      <w:bookmarkStart w:id="0" w:name="_GoBack"/>
      <w:bookmarkEnd w:id="0"/>
      <w:r>
        <w:rPr>
          <w:rFonts w:hint="eastAsia" w:ascii="宋体" w:hAnsi="宋体" w:eastAsia="宋体" w:cs="宋体"/>
          <w:bdr w:val="none" w:color="auto" w:sz="0" w:space="0"/>
          <w:shd w:val="clear" w:fill="FFFFFF"/>
        </w:rPr>
        <w:t>受柳州市人才引进相关优惠政策。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84FE6"/>
    <w:rsid w:val="353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FA6800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cycle-button3"/>
    <w:basedOn w:val="3"/>
    <w:uiPriority w:val="0"/>
  </w:style>
  <w:style w:type="character" w:customStyle="1" w:styleId="8">
    <w:name w:val="after"/>
    <w:basedOn w:val="3"/>
    <w:uiPriority w:val="0"/>
    <w:rPr>
      <w:shd w:val="clear" w:fill="1D1D1D"/>
    </w:rPr>
  </w:style>
  <w:style w:type="character" w:customStyle="1" w:styleId="9">
    <w:name w:val="before"/>
    <w:basedOn w:val="3"/>
    <w:uiPriority w:val="0"/>
    <w:rPr>
      <w:shd w:val="clear" w:fill="1D1D1D"/>
    </w:rPr>
  </w:style>
  <w:style w:type="character" w:customStyle="1" w:styleId="10">
    <w:name w:val="button17"/>
    <w:basedOn w:val="3"/>
    <w:uiPriority w:val="0"/>
  </w:style>
  <w:style w:type="character" w:customStyle="1" w:styleId="11">
    <w:name w:val="round-button3"/>
    <w:basedOn w:val="3"/>
    <w:uiPriority w:val="0"/>
  </w:style>
  <w:style w:type="character" w:customStyle="1" w:styleId="12">
    <w:name w:val="square-button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2018-03-19T07:22:00Z</dcterms:created>
  <dc:creator>向青釉</dc:creator>
  <cp:lastModifiedBy>向青釉</cp:lastModifiedBy>
  <dcterms:modified xsi:type="dcterms:W3CDTF">2018-03-19T07:54:28Z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