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广西工商职业技术学院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2022年第一批招聘</w:t>
      </w:r>
      <w:r>
        <w:rPr>
          <w:rFonts w:hint="eastAsia" w:ascii="方正小标宋简体" w:hAnsi="仿宋" w:eastAsia="方正小标宋简体"/>
          <w:sz w:val="44"/>
          <w:szCs w:val="44"/>
        </w:rPr>
        <w:t>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tbl>
      <w:tblPr>
        <w:tblStyle w:val="2"/>
        <w:tblW w:w="15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99"/>
        <w:gridCol w:w="830"/>
        <w:gridCol w:w="567"/>
        <w:gridCol w:w="3261"/>
        <w:gridCol w:w="1417"/>
        <w:gridCol w:w="709"/>
        <w:gridCol w:w="1923"/>
        <w:gridCol w:w="530"/>
        <w:gridCol w:w="3316"/>
        <w:gridCol w:w="567"/>
        <w:gridCol w:w="100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 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职称或职业资格</w:t>
            </w: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面貌</w:t>
            </w:r>
          </w:p>
        </w:tc>
        <w:tc>
          <w:tcPr>
            <w:tcW w:w="331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用人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岗位待遇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用人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工程审计人员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工程造价,工程造价管理，工程管理,通风空调与给排水工程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研究生学历具有硕士学位及以上；或本科学历具有学士学位且获得中级工程师及以上职称</w:t>
            </w:r>
          </w:p>
        </w:tc>
        <w:tc>
          <w:tcPr>
            <w:tcW w:w="5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31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具有2年及以上工作经验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与在职在编人员实行同工同酬。拟聘用人员进入学院工作后，按照学历、职称等实际情况，比照学院同类人员确定拟聘用人员工资福利待遇。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党委办公室（学院办公室）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社团管理中心干事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表演艺术、音乐表演、舞蹈表演、服装表演、影视表演、戏曲表演、编导、音乐学、艺术学、音乐与舞蹈学、音乐表演、音乐硕士、戏剧硕士、曲目硕士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研究生学历具有硕士学位及以上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有学生干部工作经验优先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1004" w:type="dxa"/>
            <w:vMerge w:val="continue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工程管理人员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建筑工程,土木工程，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具有中级及以上职称</w:t>
            </w:r>
          </w:p>
        </w:tc>
        <w:tc>
          <w:tcPr>
            <w:tcW w:w="5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具有施工管理或施工工艺工作经历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1004" w:type="dxa"/>
            <w:vMerge w:val="continue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医务人员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临床医学、中西医临床医学、中西医临床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具有中级及以上职称</w:t>
            </w:r>
          </w:p>
        </w:tc>
        <w:tc>
          <w:tcPr>
            <w:tcW w:w="5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1004" w:type="dxa"/>
            <w:vMerge w:val="continue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3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组织员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中国汉语言文学及文秘类、工商管理类、经济学类、公共管理类、会计与审计类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316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具有1年以上组织员工作经历或3年党建工作经历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1004" w:type="dxa"/>
            <w:vMerge w:val="continue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党委组织部、二级学院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设计类教师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美术学、视觉传达设计、艺术设计、数字媒体艺术、环境设计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研究生学历具有硕士学位及以上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应聘者需提交参与过的设计项目的证明材料。具有室内设计工作经历的优先。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1004" w:type="dxa"/>
            <w:vMerge w:val="continue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信息与设计学院</w:t>
            </w:r>
          </w:p>
        </w:tc>
      </w:tr>
    </w:tbl>
    <w:p>
      <w:pPr>
        <w:spacing w:line="560" w:lineRule="exac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学科类别、专业名称参考《广西壮族自治区公务员考试专业分类指导目录》、教育部《专业目录》。</w:t>
      </w:r>
    </w:p>
    <w:p/>
    <w:sectPr>
      <w:pgSz w:w="16838" w:h="11906" w:orient="landscape"/>
      <w:pgMar w:top="1474" w:right="1418" w:bottom="1474" w:left="130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4B"/>
    <w:rsid w:val="00195AF9"/>
    <w:rsid w:val="002D7020"/>
    <w:rsid w:val="00436EE2"/>
    <w:rsid w:val="00777D92"/>
    <w:rsid w:val="0081574B"/>
    <w:rsid w:val="008E5540"/>
    <w:rsid w:val="00CF6AD2"/>
    <w:rsid w:val="00D8461F"/>
    <w:rsid w:val="00DE71AD"/>
    <w:rsid w:val="00E464E9"/>
    <w:rsid w:val="145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4697</Words>
  <Characters>4891</Characters>
  <Lines>36</Lines>
  <Paragraphs>10</Paragraphs>
  <TotalTime>33</TotalTime>
  <ScaleCrop>false</ScaleCrop>
  <LinksUpToDate>false</LinksUpToDate>
  <CharactersWithSpaces>4933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2022-04-19T02:40:00Z</dcterms:created>
  <dc:creator>韦书菲</dc:creator>
  <cp:lastModifiedBy>金天宇</cp:lastModifiedBy>
  <dcterms:modified xsi:type="dcterms:W3CDTF">2022-04-25T08:46:54Z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eyJoZGlkIjoiZWVkYzUxODhmNmI4YTM1ODBkMmJmMTZhNDkwMzAyNjYifQ==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B84E6DB7436B45728994F19B92D96FDB</vt:lpwstr>
  </property>
</Properties>
</file>