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420"/>
        <w:jc w:val="center"/>
        <w:rPr>
          <w:rFonts w:hint="eastAsia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83838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广西2020年定向选调生招录急需紧缺专业目录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420"/>
        <w:jc w:val="center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</w:p>
    <w:tbl>
      <w:tblPr>
        <w:tblW w:w="7488" w:type="dxa"/>
        <w:jc w:val="center"/>
        <w:tblInd w:w="40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63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学科类别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以下专业招录全日制本科、硕士毕业生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（一）经济学、管理学、社会学与法学类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，社会保障，法学（法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（二）土建类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（三）海洋科学及工程类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（四）环境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科学类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（五）交通运输类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（六）机械工程与材料科学类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机械制造及其自动化，机械电子工程，车辆工程，机械设计及理论，材料科学与工程，新材料科学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（七）电气信息工程及电子信息科技类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，数据科学与大数据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（八）轻工食品类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（九）农林水类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果树学，蔬菜学，茶学，林学，农产品安全，农药学，畜牧学，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，生态水力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（十）医学、康养类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中药学，中药资源与开发，壮医学，预防医学，中医养生康养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学科类别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以下专业招录全日制博士毕业生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（一）经济学、管理学与法学类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经济学，财务管理，财务与投资管理，财政学，公共财政管理，金融学（工程），国际贸易学，国际经济与贸易，旅游管理，会展经济与管理，法学（法律）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（二）土建类</w:t>
            </w:r>
          </w:p>
        </w:tc>
        <w:tc>
          <w:tcPr>
            <w:tcW w:w="6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420"/>
        <w:jc w:val="left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Fonts w:ascii="宋体" w:hAnsi="宋体" w:eastAsia="宋体" w:cs="宋体"/>
          <w:b/>
          <w:i w:val="0"/>
          <w:caps w:val="0"/>
          <w:color w:val="83838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注：志愿到县乡机关工作的本科生、硕士研究生不限专业报考。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420"/>
        <w:jc w:val="left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Style w:val="5"/>
          <w:rFonts w:ascii="仿宋_GB2312" w:hAnsi="仿宋_GB2312" w:eastAsia="仿宋_GB2312" w:cs="仿宋_GB2312"/>
          <w:i w:val="0"/>
          <w:caps w:val="0"/>
          <w:color w:val="E5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附：1、为汇总相关报名信息，报考时须扫描以下二维码或者点击链接https://www.wjx.top/jq/45933375.aspx填写相关报名信息，以免影响报名！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420"/>
        <w:jc w:val="left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83838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876800" cy="4876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640"/>
        <w:jc w:val="left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Style w:val="5"/>
          <w:rFonts w:ascii="仿宋_GB2312" w:hAnsi="仿宋_GB2312" w:eastAsia="仿宋_GB2312" w:cs="仿宋_GB2312"/>
          <w:i w:val="0"/>
          <w:caps w:val="0"/>
          <w:color w:val="E53333"/>
          <w:spacing w:val="0"/>
          <w:sz w:val="21"/>
          <w:szCs w:val="21"/>
          <w:bdr w:val="none" w:color="auto" w:sz="0" w:space="0"/>
          <w:shd w:val="clear" w:fill="FFFFFF"/>
        </w:rPr>
        <w:t>2、请认真阅读附件《选调生报考知情书》，如果是第一次报名，需要将知情书打印并手写签名交至闵行校区铁生馆203办公室。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640"/>
        <w:jc w:val="left"/>
        <w:rPr>
          <w:rFonts w:hint="default" w:ascii="Arial" w:hAnsi="Arial" w:cs="Arial"/>
          <w:i w:val="0"/>
          <w:caps w:val="0"/>
          <w:color w:val="838383"/>
          <w:spacing w:val="0"/>
          <w:sz w:val="14"/>
          <w:szCs w:val="14"/>
        </w:rPr>
      </w:pPr>
      <w:r>
        <w:rPr>
          <w:rStyle w:val="5"/>
          <w:rFonts w:hint="default" w:ascii="Arial" w:hAnsi="Arial" w:cs="Arial"/>
          <w:i w:val="0"/>
          <w:caps w:val="0"/>
          <w:color w:val="E53333"/>
          <w:spacing w:val="0"/>
          <w:sz w:val="21"/>
          <w:szCs w:val="21"/>
          <w:bdr w:val="none" w:color="auto" w:sz="0" w:space="0"/>
          <w:shd w:val="clear" w:fill="FFFFFF"/>
        </w:rPr>
        <w:t> 3、</w:t>
      </w:r>
      <w:r>
        <w:rPr>
          <w:rStyle w:val="5"/>
          <w:rFonts w:ascii="仿宋_GB2312" w:hAnsi="仿宋_GB2312" w:eastAsia="仿宋_GB2312" w:cs="仿宋_GB2312"/>
          <w:i w:val="0"/>
          <w:caps w:val="0"/>
          <w:color w:val="E53333"/>
          <w:spacing w:val="0"/>
          <w:sz w:val="21"/>
          <w:szCs w:val="21"/>
          <w:bdr w:val="none" w:color="auto" w:sz="0" w:space="0"/>
          <w:shd w:val="clear" w:fill="FFFFFF"/>
        </w:rPr>
        <w:t>可加微信“xds_sjtu“备注“广西选调生咨询+姓名”加群</w:t>
      </w:r>
      <w:r>
        <w:rPr>
          <w:rStyle w:val="5"/>
          <w:rFonts w:hint="default" w:ascii="Arial" w:hAnsi="Arial" w:cs="Arial"/>
          <w:i w:val="0"/>
          <w:caps w:val="0"/>
          <w:color w:val="E53333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90BB0"/>
    <w:rsid w:val="152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2019-10-17T15:03:00Z</dcterms:created>
  <dc:creator>石果</dc:creator>
  <cp:lastModifiedBy>石果</cp:lastModifiedBy>
  <dcterms:modified xsi:type="dcterms:W3CDTF">2019-10-17T15:04:14Z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